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color w:val="212121"/>
          <w:sz w:val="28"/>
          <w:szCs w:val="28"/>
          <w:rtl w:val="0"/>
        </w:rPr>
        <w:t xml:space="preserve">Психологічна травма війни та кризових подій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before="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Огляд курсу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Цей академічний курс пропонує глибоке, клінічно обґрунтоване дослідження людських травм у зонах конфліктів. Відходячи від широких визначень стресу, ця навчальна програма зосереджується на конкретних порушеннях у стосунках, нейробіологічних зрушеннях та психологічних наслідках, унікальних для цільових груп населення. Кожна лекція функціонує як суворий, самостійний тематичний блок, але разом вони створюють комплексну основу для взаємодії з урахуванням травми, оптимізації безпеки та посттравматичного зростання.</w:t>
      </w:r>
    </w:p>
    <w:p w:rsidR="00000000" w:rsidDel="00000000" w:rsidP="00000000" w:rsidRDefault="00000000" w:rsidRPr="00000000" w14:paraId="00000004">
      <w:pPr>
        <w:pStyle w:val="Heading2"/>
        <w:spacing w:before="30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Оцінювання та показники оцінювання курсу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Щоб отримати академічну сертифікацію, студенти будуть оцінюватися на основі таких академічних критеріїв:</w:t>
      </w:r>
    </w:p>
    <w:tbl>
      <w:tblPr>
        <w:tblStyle w:val="Table1"/>
        <w:tblW w:w="9360.0" w:type="dxa"/>
        <w:jc w:val="left"/>
        <w:tblBorders>
          <w:top w:color="e2e8f0" w:space="0" w:sz="6" w:val="single"/>
          <w:left w:color="e2e8f0" w:space="0" w:sz="6" w:val="single"/>
          <w:bottom w:color="e2e8f0" w:space="0" w:sz="6" w:val="single"/>
          <w:right w:color="e2e8f0" w:space="0" w:sz="6" w:val="single"/>
          <w:insideH w:color="e2e8f0" w:space="0" w:sz="6" w:val="single"/>
          <w:insideV w:color="e2e8f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f1f5f9" w:val="clear"/>
            <w:tcMar>
              <w:top w:w="180.0" w:type="dxa"/>
              <w:left w:w="180.0" w:type="dxa"/>
              <w:bottom w:w="180.0" w:type="dxa"/>
              <w:right w:w="180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80" w:before="180" w:lineRule="auto"/>
              <w:rPr>
                <w:rFonts w:ascii="EB Garamond" w:cs="EB Garamond" w:eastAsia="EB Garamond" w:hAnsi="EB 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4"/>
                <w:szCs w:val="24"/>
                <w:rtl w:val="0"/>
              </w:rPr>
              <w:t xml:space="preserve">Компонент оцінювання</w:t>
            </w:r>
          </w:p>
        </w:tc>
        <w:tc>
          <w:tcPr>
            <w:shd w:fill="f1f5f9" w:val="clear"/>
            <w:tcMar>
              <w:top w:w="180.0" w:type="dxa"/>
              <w:left w:w="180.0" w:type="dxa"/>
              <w:bottom w:w="180.0" w:type="dxa"/>
              <w:right w:w="180.0" w:type="dxa"/>
            </w:tcMar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80" w:before="180" w:lineRule="auto"/>
              <w:rPr>
                <w:rFonts w:ascii="EB Garamond" w:cs="EB Garamond" w:eastAsia="EB Garamond" w:hAnsi="EB 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4"/>
                <w:szCs w:val="24"/>
                <w:rtl w:val="0"/>
              </w:rPr>
              <w:t xml:space="preserve">Опис</w:t>
            </w:r>
          </w:p>
        </w:tc>
        <w:tc>
          <w:tcPr>
            <w:shd w:fill="f1f5f9" w:val="clear"/>
            <w:tcMar>
              <w:top w:w="180.0" w:type="dxa"/>
              <w:left w:w="180.0" w:type="dxa"/>
              <w:bottom w:w="180.0" w:type="dxa"/>
              <w:right w:w="18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80" w:before="180" w:lineRule="auto"/>
              <w:rPr>
                <w:rFonts w:ascii="EB Garamond" w:cs="EB Garamond" w:eastAsia="EB Garamond" w:hAnsi="EB 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4"/>
                <w:szCs w:val="24"/>
                <w:rtl w:val="0"/>
              </w:rPr>
              <w:t xml:space="preserve">Вага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EB Garamond" w:cs="EB Garamond" w:eastAsia="EB Garamond" w:hAnsi="EB Garamond"/>
                <w:sz w:val="24"/>
                <w:szCs w:val="24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e2e8f0" w:space="0" w:sz="6" w:val="single"/>
            </w:tcBorders>
            <w:tcMar>
              <w:top w:w="180.0" w:type="dxa"/>
              <w:left w:w="180.0" w:type="dxa"/>
              <w:bottom w:w="180.0" w:type="dxa"/>
              <w:right w:w="18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80" w:before="180" w:lineRule="auto"/>
              <w:rPr>
                <w:rFonts w:ascii="EB Garamond" w:cs="EB Garamond" w:eastAsia="EB Garamond" w:hAnsi="EB 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bCs w:val="1"/>
                <w:sz w:val="24"/>
                <w:szCs w:val="24"/>
                <w:rtl w:val="0"/>
              </w:rPr>
              <w:t xml:space="preserve">Щотижневі рефлексивні журнали</w:t>
            </w:r>
          </w:p>
        </w:tc>
        <w:tc>
          <w:tcPr>
            <w:tcBorders>
              <w:bottom w:color="e2e8f0" w:space="0" w:sz="6" w:val="single"/>
            </w:tcBorders>
            <w:tcMar>
              <w:top w:w="180.0" w:type="dxa"/>
              <w:left w:w="180.0" w:type="dxa"/>
              <w:bottom w:w="180.0" w:type="dxa"/>
              <w:right w:w="180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80" w:before="180" w:lineRule="auto"/>
              <w:rPr>
                <w:rFonts w:ascii="EB Garamond" w:cs="EB Garamond" w:eastAsia="EB Garamond" w:hAnsi="EB Garamond"/>
                <w:sz w:val="24"/>
                <w:szCs w:val="24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4"/>
                <w:szCs w:val="24"/>
                <w:rtl w:val="0"/>
              </w:rPr>
              <w:t xml:space="preserve">Сім критичних відповідей по 500 слів, що пов'язують психологічну теорію з особистими спостереженнями або майбутнім освітнім середовищем.</w:t>
            </w:r>
          </w:p>
        </w:tc>
        <w:tc>
          <w:tcPr>
            <w:tcBorders>
              <w:bottom w:color="e2e8f0" w:space="0" w:sz="6" w:val="single"/>
            </w:tcBorders>
            <w:tcMar>
              <w:top w:w="180.0" w:type="dxa"/>
              <w:left w:w="180.0" w:type="dxa"/>
              <w:bottom w:w="180.0" w:type="dxa"/>
              <w:right w:w="18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80" w:before="180" w:lineRule="auto"/>
              <w:rPr>
                <w:rFonts w:ascii="EB Garamond" w:cs="EB Garamond" w:eastAsia="EB Garamond" w:hAnsi="EB 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Style w:val="Heading2"/>
        <w:spacing w:after="240" w:before="30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spacing w:after="240" w:before="300" w:lineRule="auto"/>
        <w:rPr>
          <w:rFonts w:ascii="EB Garamond" w:cs="EB Garamond" w:eastAsia="EB Garamond" w:hAnsi="EB Garamond"/>
          <w:sz w:val="24"/>
          <w:szCs w:val="24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u w:val="single"/>
          <w:rtl w:val="0"/>
        </w:rPr>
        <w:t xml:space="preserve">Блок лекцій</w:t>
      </w:r>
    </w:p>
    <w:p w:rsidR="00000000" w:rsidDel="00000000" w:rsidP="00000000" w:rsidRDefault="00000000" w:rsidRPr="00000000" w14:paraId="0000000F">
      <w:pPr>
        <w:pStyle w:val="Heading3"/>
        <w:spacing w:before="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Лекція 1: Нейробіологія травми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Тип фокусу: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Фізіологічна адаптація та функціональність мозку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Опис: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Дослідження того, як тривала екзистенційна небезпека змінює біологію, фокус та пам'ять людини, зокрема аналізуючи різницю між гострою травмою та хронічною загрозою з навколишнього середовища.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Вплив на мигдалину: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Механіка активації симпатичної нервової системи під час активних тривог (наприклад, сирен, артилерії).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Перевантаження осі гіпоталамо-гіпофізарно-надпочечникової системи та кортизолу: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довгострокове когнітивне навантаження, уважне вивчення туману в мозку, втоми та виконавчої дисфункції.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Освітні кореляти: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Як мозок в активному «режимі виживання» обробляє інформацію та методи скидання короткочасної робочої пам'яті.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Лекція 2: Переміщення та травма втрати домівки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внутрішньо переміщені особи (ВПО) та зовнішні біженці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Опис: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Скорбота про фізичний розрив простору та спільноти. Ця лекція окреслює різні психологічні тягарі, які несуть ті, хто змушений тікати, порівняно з тими, хто залишається.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Неоднозначна втрата: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скорбота за будинком або районом, який, можливо, все ще фізично стоїть, але до нього більше не можна дістатися або безпечно жити в ньому.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Парадокс біженця: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подолання інтенсивної безпеки за кордоном разом із постійним «почуттям провини того, хто вижив» та відірваною від реальності тривогою.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Стирання ідентичності: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пом'якшення наслідків втрати професійного статусу, соціальних кіл та локальних мереж підтримки.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Лекція 3: Повернення ветерана: моральна травма та повернення до стосунків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комбатанти на передовій, їхні дружини та подружні пари.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Опис: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Це заняття оцінює глибокі психологічні, етичні та реляційні зміни, пов'язані з поверненням комбатантів до цивільного життя вдома.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Моральна травма проти класичного ПТСР: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розмежування між реакціями пам'яті, зумовленими страхом, та глибокими духовними/етичними ранами, спричиненими в результаті спостереження або участі у злочинах воєнного часу.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Дефіцит деескалації: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управління постійною гіперпильністю, емоційним онімінням та бойовою готовністю в мирному домі.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Сімейна пара «комбатант-партнер»: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клінічні підходи до стабілізації пар, вирішення системних вторинних травм у партнерів та перегляду сімейних ролей.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Лекція 4: Війна очима дитини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малюки, діти та підлітки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Опис: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Дослідження порушення фундаментальних етапів розвитку, коли ранні системи прив'язаності дестабілізуються навколишньою загрозою.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Порушена динаміка безпечної бази: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що відбувається зі світоглядом дитини, коли основні опікуни емоційно недоступні через власну воєнну травму.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Несприятливий дитячий досвід (НДД):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довгостроковий вплив дитячих негараздів, спричинених війною, на поведінку, академічні досягнення та фізичне здоров'я.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Педагогічна співрегуляція: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Практичні стратегії того, як важливі фігури в житті дитини (вчителі, релігійні лідери, родичі, друзі тощо) можуть служити безпечними зовнішніми регуляторами для учнів з високим рівнем тривожності або деструктивною поведінкою.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firstLine="0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Лекція 5: Гендерний досвід війни: материнське навантаження та міжособистісні стосунки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жінки, матері та громади, керовані жінками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Опис: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Дослідження унікальних травматичних вразливостей та стратегій захисної стійкості, що використовуються жінками під час національного колапсу.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Мандат материнства: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важке психологічне напруження, пов'язане з тим, щоб діяти як емоційний щит для дітей, одночасно долаючи власний особистий жах.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Міжособистісне та пов'язане з конфліктом насильство: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оцінка клінічних проявів розладів настрою, що виникають внаслідок травми, пов'язаної з війною та конфліктами.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Стійкість до стосунків: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як горизонтальні групи взаємодопомоги та соціальні мережі, керовані жінками, слугують життєво важливими психологічними захисними буферами від відчаю.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Лекція 6: Цифрова травма та колективне горе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Тип фокусу: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інформаційна війна, опосередкована травма та технології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Опис: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У цій лекції оцінюється, як перша повністю цифрова війна, інтегрована зі смартфонами, змінює публічні та приватні ритуали жалоби.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Опосередкована психологічна травма: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психологічна шкода, спричинена високоякісним, невідредагованим травматичним контентом, що миттєво доставляється через соціальні додатки.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Інформаційне виснаження та прокручування інформації: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когнітивне перевантаження та використання тривоги як зброї через структуровані психологічні дезінформаційні кампанії.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Цифрові профілі горя: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подолання спільної скорботи, вшанування пам'яті загиблих колег онлайн та структурування здорових меж цифрової гігієни.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Лекція 7: Посттравматичне зростання та стабілізація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Тип фокусу: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Інтеграція, синтез та дії, спрямовані на майбутнє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Опис: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Заключна лекція переводить студентів від клінічного розуміння до активного педагогічного використання, підкреслюючи роль безпечних стосунків у зціленні.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Модель посттравматичного зростання (ПТЗ):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Відкриття нових глибин у стосунках, екзистенційної ясності та особистої стійкості після травми.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Травма-орієнтована педагогіка (TIP):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Стратегії деескалації панічних атак, встановлення прозорих очікувань та зміна середовища для високо травмованих груп.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0" w:hanging="360"/>
        <w:rPr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Етика меж для непрофесіоналів: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прищеплення клінічних меж — навчання студентів тому, як пропонувати співчутливе, стабільну “підтримку”, не заходячи на територію неліцензованої або небезпечної аматорської терапії.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40" w:befor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25" w:before="225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40" w:befor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55" w:before="255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55" w:before="255" w:lineRule="auto"/>
    </w:pPr>
    <w:rPr>
      <w:b w:val="1"/>
      <w:bCs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60" w:before="360" w:lineRule="auto"/>
    </w:pPr>
    <w:rPr>
      <w:b w:val="1"/>
      <w:bCs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YPpRQYRgqR2iBgTif8j/SoWIPw==">CgMxLjA4AHIhMWVYRDNTa2tweTdBandQRFYzMjc4Ny13ellwWHdUVDgw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